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807" w:rsidRDefault="00371807">
      <w:pPr>
        <w:pBdr>
          <w:bottom w:val="single" w:sz="12" w:space="1" w:color="auto"/>
        </w:pBdr>
      </w:pPr>
      <w:r>
        <w:rPr>
          <w:noProof/>
        </w:rPr>
        <w:drawing>
          <wp:inline distT="0" distB="0" distL="0" distR="0" wp14:anchorId="2553720B" wp14:editId="08ACC576">
            <wp:extent cx="1572260" cy="990600"/>
            <wp:effectExtent l="0" t="0" r="889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srcRect/>
                    <a:stretch>
                      <a:fillRect/>
                    </a:stretch>
                  </pic:blipFill>
                  <pic:spPr bwMode="auto">
                    <a:xfrm>
                      <a:off x="0" y="0"/>
                      <a:ext cx="1572260" cy="990600"/>
                    </a:xfrm>
                    <a:prstGeom prst="rect">
                      <a:avLst/>
                    </a:prstGeom>
                    <a:noFill/>
                    <a:ln w="9525">
                      <a:noFill/>
                      <a:miter lim="800000"/>
                      <a:headEnd/>
                      <a:tailEnd/>
                    </a:ln>
                  </pic:spPr>
                </pic:pic>
              </a:graphicData>
            </a:graphic>
          </wp:inline>
        </w:drawing>
      </w:r>
    </w:p>
    <w:p w:rsidR="00A43D32" w:rsidRDefault="001D49DF" w:rsidP="00371807">
      <w:pPr>
        <w:pBdr>
          <w:bottom w:val="single" w:sz="12" w:space="1" w:color="auto"/>
        </w:pBdr>
        <w:jc w:val="right"/>
      </w:pPr>
      <w:r>
        <w:tab/>
      </w:r>
      <w:r>
        <w:tab/>
      </w:r>
      <w:r>
        <w:tab/>
      </w:r>
      <w:r>
        <w:tab/>
      </w:r>
      <w:r>
        <w:tab/>
      </w:r>
      <w:r>
        <w:tab/>
      </w:r>
      <w:r>
        <w:tab/>
      </w:r>
      <w:r>
        <w:tab/>
        <w:t>Position Statement</w:t>
      </w:r>
    </w:p>
    <w:p w:rsidR="001D49DF" w:rsidRDefault="001D49DF"/>
    <w:p w:rsidR="001D49DF" w:rsidRPr="001D49DF" w:rsidRDefault="001D49DF" w:rsidP="001D49DF">
      <w:pPr>
        <w:jc w:val="center"/>
        <w:rPr>
          <w:rFonts w:ascii="Arial Narrow" w:hAnsi="Arial Narrow"/>
          <w:b/>
          <w:color w:val="0070C0"/>
          <w:sz w:val="32"/>
          <w:szCs w:val="32"/>
        </w:rPr>
      </w:pPr>
      <w:r w:rsidRPr="001D49DF">
        <w:rPr>
          <w:rFonts w:ascii="Arial Narrow" w:hAnsi="Arial Narrow"/>
          <w:b/>
          <w:color w:val="0070C0"/>
          <w:sz w:val="32"/>
          <w:szCs w:val="32"/>
        </w:rPr>
        <w:t>Nursing Home Hand-Off Reports to Emergency Departments</w:t>
      </w:r>
    </w:p>
    <w:p w:rsidR="00032952" w:rsidRDefault="00032952" w:rsidP="00032952"/>
    <w:p w:rsidR="001D49DF" w:rsidRPr="00A138A3" w:rsidRDefault="001D49DF" w:rsidP="00032952">
      <w:pPr>
        <w:rPr>
          <w:rFonts w:ascii="Arial Narrow" w:hAnsi="Arial Narrow"/>
          <w:b/>
          <w:sz w:val="28"/>
          <w:szCs w:val="28"/>
        </w:rPr>
      </w:pPr>
      <w:r w:rsidRPr="00A138A3">
        <w:rPr>
          <w:rFonts w:ascii="Arial Narrow" w:hAnsi="Arial Narrow"/>
          <w:b/>
          <w:sz w:val="28"/>
          <w:szCs w:val="28"/>
        </w:rPr>
        <w:t>Description</w:t>
      </w:r>
    </w:p>
    <w:p w:rsidR="005B4A51" w:rsidRDefault="00AC5158" w:rsidP="00032952">
      <w:pPr>
        <w:rPr>
          <w:rFonts w:ascii="Arial Narrow" w:hAnsi="Arial Narrow"/>
          <w:sz w:val="24"/>
          <w:szCs w:val="24"/>
        </w:rPr>
      </w:pPr>
      <w:r>
        <w:rPr>
          <w:rFonts w:ascii="Arial Narrow" w:hAnsi="Arial Narrow"/>
          <w:sz w:val="24"/>
          <w:szCs w:val="24"/>
        </w:rPr>
        <w:t>T</w:t>
      </w:r>
      <w:r w:rsidR="00DD09E1" w:rsidRPr="00032952">
        <w:rPr>
          <w:rFonts w:ascii="Arial Narrow" w:hAnsi="Arial Narrow"/>
          <w:sz w:val="24"/>
          <w:szCs w:val="24"/>
        </w:rPr>
        <w:t>he population of the United States will include 35% of individuals over the age of 65</w:t>
      </w:r>
      <w:r w:rsidRPr="005C222C">
        <w:rPr>
          <w:rFonts w:ascii="Arial Narrow" w:hAnsi="Arial Narrow"/>
          <w:sz w:val="24"/>
          <w:szCs w:val="24"/>
          <w:vertAlign w:val="superscript"/>
        </w:rPr>
        <w:t>3</w:t>
      </w:r>
      <w:r w:rsidR="00DD09E1" w:rsidRPr="00032952">
        <w:rPr>
          <w:rFonts w:ascii="Arial Narrow" w:hAnsi="Arial Narrow"/>
          <w:sz w:val="24"/>
          <w:szCs w:val="24"/>
        </w:rPr>
        <w:t xml:space="preserve">.  There are roughly </w:t>
      </w:r>
      <w:r w:rsidR="003F191C" w:rsidRPr="00032952">
        <w:rPr>
          <w:rFonts w:ascii="Arial Narrow" w:hAnsi="Arial Narrow"/>
          <w:sz w:val="24"/>
          <w:szCs w:val="24"/>
        </w:rPr>
        <w:t>6.1 million individuals cu</w:t>
      </w:r>
      <w:r w:rsidR="00DD09E1" w:rsidRPr="00032952">
        <w:rPr>
          <w:rFonts w:ascii="Arial Narrow" w:hAnsi="Arial Narrow"/>
          <w:sz w:val="24"/>
          <w:szCs w:val="24"/>
        </w:rPr>
        <w:t>rrent</w:t>
      </w:r>
      <w:r w:rsidR="003F191C" w:rsidRPr="00032952">
        <w:rPr>
          <w:rFonts w:ascii="Arial Narrow" w:hAnsi="Arial Narrow"/>
          <w:sz w:val="24"/>
          <w:szCs w:val="24"/>
        </w:rPr>
        <w:t>ly</w:t>
      </w:r>
      <w:r w:rsidR="00DD09E1" w:rsidRPr="00032952">
        <w:rPr>
          <w:rFonts w:ascii="Arial Narrow" w:hAnsi="Arial Narrow"/>
          <w:sz w:val="24"/>
          <w:szCs w:val="24"/>
        </w:rPr>
        <w:t xml:space="preserve"> residing in nursing homes</w:t>
      </w:r>
      <w:r w:rsidR="005B4A51" w:rsidRPr="00032952">
        <w:rPr>
          <w:rFonts w:ascii="Arial Narrow" w:hAnsi="Arial Narrow"/>
          <w:sz w:val="24"/>
          <w:szCs w:val="24"/>
        </w:rPr>
        <w:t>, skilled nursing facilities, or specialized nursing units</w:t>
      </w:r>
      <w:r w:rsidR="005C222C" w:rsidRPr="005C222C">
        <w:rPr>
          <w:rFonts w:ascii="Arial Narrow" w:hAnsi="Arial Narrow"/>
          <w:sz w:val="24"/>
          <w:szCs w:val="24"/>
          <w:vertAlign w:val="superscript"/>
        </w:rPr>
        <w:t>1</w:t>
      </w:r>
      <w:r w:rsidR="00DD09E1" w:rsidRPr="00032952">
        <w:rPr>
          <w:rFonts w:ascii="Arial Narrow" w:hAnsi="Arial Narrow"/>
          <w:sz w:val="24"/>
          <w:szCs w:val="24"/>
        </w:rPr>
        <w:t xml:space="preserve">.  </w:t>
      </w:r>
      <w:r w:rsidR="00032952" w:rsidRPr="00032952">
        <w:rPr>
          <w:rFonts w:ascii="Arial Narrow" w:hAnsi="Arial Narrow"/>
          <w:sz w:val="24"/>
          <w:szCs w:val="24"/>
        </w:rPr>
        <w:t>Research has found that a nursing home resident has a 60% chance of being transferred to an emergency department and a 30% chance of being admitted to a hospital in a 1-year period (McCloskey, 2011)</w:t>
      </w:r>
      <w:r w:rsidR="00220C27">
        <w:rPr>
          <w:rFonts w:ascii="Arial Narrow" w:hAnsi="Arial Narrow"/>
          <w:sz w:val="24"/>
          <w:szCs w:val="24"/>
        </w:rPr>
        <w:t>.</w:t>
      </w:r>
    </w:p>
    <w:p w:rsidR="00220C27" w:rsidRPr="00032952" w:rsidRDefault="00220C27" w:rsidP="00032952">
      <w:pPr>
        <w:rPr>
          <w:rFonts w:ascii="Arial Narrow" w:hAnsi="Arial Narrow"/>
          <w:sz w:val="24"/>
          <w:szCs w:val="24"/>
        </w:rPr>
      </w:pPr>
      <w:r>
        <w:rPr>
          <w:rFonts w:ascii="Arial Narrow" w:hAnsi="Arial Narrow"/>
          <w:sz w:val="24"/>
          <w:szCs w:val="24"/>
        </w:rPr>
        <w:t>Emergency departments continue to express concern regarding poor</w:t>
      </w:r>
      <w:r w:rsidR="00474B6B">
        <w:rPr>
          <w:rFonts w:ascii="Arial Narrow" w:hAnsi="Arial Narrow"/>
          <w:sz w:val="24"/>
          <w:szCs w:val="24"/>
        </w:rPr>
        <w:t xml:space="preserve"> or lack of</w:t>
      </w:r>
      <w:r>
        <w:rPr>
          <w:rFonts w:ascii="Arial Narrow" w:hAnsi="Arial Narrow"/>
          <w:sz w:val="24"/>
          <w:szCs w:val="24"/>
        </w:rPr>
        <w:t xml:space="preserve"> communication between skilled nursing facilities</w:t>
      </w:r>
      <w:r w:rsidR="00ED4611">
        <w:rPr>
          <w:rFonts w:ascii="Arial Narrow" w:hAnsi="Arial Narrow"/>
          <w:sz w:val="24"/>
          <w:szCs w:val="24"/>
        </w:rPr>
        <w:t xml:space="preserve"> for patients being transferred into their facility</w:t>
      </w:r>
      <w:r>
        <w:rPr>
          <w:rFonts w:ascii="Arial Narrow" w:hAnsi="Arial Narrow"/>
          <w:sz w:val="24"/>
          <w:szCs w:val="24"/>
        </w:rPr>
        <w:t xml:space="preserve">.  The lack of coordinated hand off tools or devices increase the risk of adverse reactions to medical treatments provided that otherwise could have been prevented.   </w:t>
      </w:r>
    </w:p>
    <w:p w:rsidR="001D49DF" w:rsidRPr="00032952" w:rsidRDefault="001D49DF" w:rsidP="00032952">
      <w:pPr>
        <w:rPr>
          <w:rFonts w:ascii="Arial Narrow" w:hAnsi="Arial Narrow"/>
          <w:sz w:val="24"/>
          <w:szCs w:val="24"/>
        </w:rPr>
      </w:pPr>
      <w:r w:rsidRPr="00032952">
        <w:rPr>
          <w:rFonts w:ascii="Arial Narrow" w:hAnsi="Arial Narrow"/>
          <w:sz w:val="24"/>
          <w:szCs w:val="24"/>
        </w:rPr>
        <w:t>Continuity of care</w:t>
      </w:r>
      <w:r w:rsidR="00474B6B">
        <w:rPr>
          <w:rFonts w:ascii="Arial Narrow" w:hAnsi="Arial Narrow"/>
          <w:sz w:val="24"/>
          <w:szCs w:val="24"/>
        </w:rPr>
        <w:t xml:space="preserve"> delivery</w:t>
      </w:r>
      <w:r w:rsidRPr="00032952">
        <w:rPr>
          <w:rFonts w:ascii="Arial Narrow" w:hAnsi="Arial Narrow"/>
          <w:sz w:val="24"/>
          <w:szCs w:val="24"/>
        </w:rPr>
        <w:t xml:space="preserve"> is a paramount need for patient </w:t>
      </w:r>
      <w:r w:rsidR="00474B6B">
        <w:rPr>
          <w:rFonts w:ascii="Arial Narrow" w:hAnsi="Arial Narrow"/>
          <w:sz w:val="24"/>
          <w:szCs w:val="24"/>
        </w:rPr>
        <w:t>safety</w:t>
      </w:r>
      <w:r w:rsidRPr="00032952">
        <w:rPr>
          <w:rFonts w:ascii="Arial Narrow" w:hAnsi="Arial Narrow"/>
          <w:sz w:val="24"/>
          <w:szCs w:val="24"/>
        </w:rPr>
        <w:t>.</w:t>
      </w:r>
      <w:r w:rsidR="003647FF">
        <w:rPr>
          <w:rFonts w:ascii="Arial Narrow" w:hAnsi="Arial Narrow"/>
          <w:sz w:val="24"/>
          <w:szCs w:val="24"/>
        </w:rPr>
        <w:t xml:space="preserve"> Due to the co</w:t>
      </w:r>
      <w:r w:rsidR="00ED4611">
        <w:rPr>
          <w:rFonts w:ascii="Arial Narrow" w:hAnsi="Arial Narrow"/>
          <w:sz w:val="24"/>
          <w:szCs w:val="24"/>
        </w:rPr>
        <w:t>-morbidities that underlay this</w:t>
      </w:r>
      <w:r w:rsidR="003647FF">
        <w:rPr>
          <w:rFonts w:ascii="Arial Narrow" w:hAnsi="Arial Narrow"/>
          <w:sz w:val="24"/>
          <w:szCs w:val="24"/>
        </w:rPr>
        <w:t xml:space="preserve"> patient population, poor or lacking communication increases their risk for medical errors and creates an unsafe patient </w:t>
      </w:r>
      <w:r w:rsidR="00ED4611">
        <w:rPr>
          <w:rFonts w:ascii="Arial Narrow" w:hAnsi="Arial Narrow"/>
          <w:sz w:val="24"/>
          <w:szCs w:val="24"/>
        </w:rPr>
        <w:t>delivery</w:t>
      </w:r>
      <w:r w:rsidR="003647FF">
        <w:rPr>
          <w:rFonts w:ascii="Arial Narrow" w:hAnsi="Arial Narrow"/>
          <w:sz w:val="24"/>
          <w:szCs w:val="24"/>
        </w:rPr>
        <w:t xml:space="preserve"> of care.</w:t>
      </w:r>
      <w:r w:rsidRPr="00032952">
        <w:rPr>
          <w:rFonts w:ascii="Arial Narrow" w:hAnsi="Arial Narrow"/>
          <w:sz w:val="24"/>
          <w:szCs w:val="24"/>
        </w:rPr>
        <w:t xml:space="preserve">  In an emergency situation the more information obtained prior to care is a vital component of this need for continuity and patient safety.  </w:t>
      </w:r>
      <w:r w:rsidR="00887B20">
        <w:rPr>
          <w:rFonts w:ascii="Arial Narrow" w:hAnsi="Arial Narrow"/>
          <w:sz w:val="24"/>
          <w:szCs w:val="24"/>
        </w:rPr>
        <w:t>T</w:t>
      </w:r>
      <w:r w:rsidR="009B0FDB">
        <w:rPr>
          <w:rFonts w:ascii="Arial Narrow" w:hAnsi="Arial Narrow"/>
          <w:sz w:val="24"/>
          <w:szCs w:val="24"/>
        </w:rPr>
        <w:t xml:space="preserve">he American Medical Directors Association </w:t>
      </w:r>
      <w:r w:rsidR="0094464D">
        <w:rPr>
          <w:rFonts w:ascii="Arial Narrow" w:hAnsi="Arial Narrow"/>
          <w:sz w:val="24"/>
          <w:szCs w:val="24"/>
        </w:rPr>
        <w:t xml:space="preserve">(AMDA) </w:t>
      </w:r>
      <w:r w:rsidR="009B0FDB">
        <w:rPr>
          <w:rFonts w:ascii="Arial Narrow" w:hAnsi="Arial Narrow"/>
          <w:sz w:val="24"/>
          <w:szCs w:val="24"/>
        </w:rPr>
        <w:t>Resolved, March 2010</w:t>
      </w:r>
      <w:r w:rsidR="00ED4611">
        <w:rPr>
          <w:rFonts w:ascii="Arial Narrow" w:hAnsi="Arial Narrow"/>
          <w:sz w:val="24"/>
          <w:szCs w:val="24"/>
        </w:rPr>
        <w:t xml:space="preserve"> </w:t>
      </w:r>
      <w:r w:rsidR="009B0FDB">
        <w:rPr>
          <w:rFonts w:ascii="Arial Narrow" w:hAnsi="Arial Narrow"/>
          <w:sz w:val="24"/>
          <w:szCs w:val="24"/>
        </w:rPr>
        <w:t xml:space="preserve">that the transfer of individuals residing in skilled nursing facilities requiring transfer to an acute care facility should focus on: patient centered care, communication, and </w:t>
      </w:r>
      <w:r w:rsidR="005C222C">
        <w:rPr>
          <w:rFonts w:ascii="Arial Narrow" w:hAnsi="Arial Narrow"/>
          <w:sz w:val="24"/>
          <w:szCs w:val="24"/>
        </w:rPr>
        <w:t>safety</w:t>
      </w:r>
      <w:r w:rsidR="0094464D" w:rsidRPr="005C222C">
        <w:rPr>
          <w:rFonts w:ascii="Arial Narrow" w:hAnsi="Arial Narrow"/>
          <w:sz w:val="24"/>
          <w:szCs w:val="24"/>
          <w:vertAlign w:val="superscript"/>
        </w:rPr>
        <w:t>5</w:t>
      </w:r>
      <w:r w:rsidR="0094464D">
        <w:rPr>
          <w:rFonts w:ascii="Arial Narrow" w:hAnsi="Arial Narrow"/>
          <w:sz w:val="24"/>
          <w:szCs w:val="24"/>
        </w:rPr>
        <w:t>.  The AMDA’s focus on communication include: information about the patient, including their medications as well as actively working with other relevant professionals to create and improve policies and procedures that assure timely and accurate information, as well as communication about transfers from professional to professi</w:t>
      </w:r>
      <w:r w:rsidR="005C222C">
        <w:rPr>
          <w:rFonts w:ascii="Arial Narrow" w:hAnsi="Arial Narrow"/>
          <w:sz w:val="24"/>
          <w:szCs w:val="24"/>
        </w:rPr>
        <w:t>onal in different sites of care</w:t>
      </w:r>
      <w:r w:rsidR="0094464D" w:rsidRPr="005C222C">
        <w:rPr>
          <w:rFonts w:ascii="Arial Narrow" w:hAnsi="Arial Narrow"/>
          <w:sz w:val="24"/>
          <w:szCs w:val="24"/>
          <w:vertAlign w:val="superscript"/>
        </w:rPr>
        <w:t>5</w:t>
      </w:r>
      <w:r w:rsidR="0094464D">
        <w:rPr>
          <w:rFonts w:ascii="Arial Narrow" w:hAnsi="Arial Narrow"/>
          <w:sz w:val="24"/>
          <w:szCs w:val="24"/>
        </w:rPr>
        <w:t xml:space="preserve">.  </w:t>
      </w:r>
    </w:p>
    <w:p w:rsidR="009117C7" w:rsidRDefault="007426B4" w:rsidP="00032952">
      <w:pPr>
        <w:rPr>
          <w:rFonts w:ascii="Arial Narrow" w:hAnsi="Arial Narrow"/>
          <w:sz w:val="24"/>
          <w:szCs w:val="24"/>
        </w:rPr>
      </w:pPr>
      <w:r w:rsidRPr="00032952">
        <w:rPr>
          <w:rFonts w:ascii="Arial Narrow" w:hAnsi="Arial Narrow"/>
          <w:sz w:val="24"/>
          <w:szCs w:val="24"/>
        </w:rPr>
        <w:t>Although The Joint Commission requires accredited organizations to use a standardized approach to handoff</w:t>
      </w:r>
      <w:r w:rsidR="001A1CB3" w:rsidRPr="00032952">
        <w:rPr>
          <w:rFonts w:ascii="Arial Narrow" w:hAnsi="Arial Narrow"/>
          <w:sz w:val="24"/>
          <w:szCs w:val="24"/>
        </w:rPr>
        <w:t xml:space="preserve"> communications, approximately 80% of serious medical errors occur due to high miscommunication rates duri</w:t>
      </w:r>
      <w:r w:rsidR="005C222C">
        <w:rPr>
          <w:rFonts w:ascii="Arial Narrow" w:hAnsi="Arial Narrow"/>
          <w:sz w:val="24"/>
          <w:szCs w:val="24"/>
        </w:rPr>
        <w:t>ng patient hand-offs/transfers</w:t>
      </w:r>
      <w:r w:rsidR="005C222C" w:rsidRPr="005C222C">
        <w:rPr>
          <w:rFonts w:ascii="Arial Narrow" w:hAnsi="Arial Narrow"/>
          <w:sz w:val="24"/>
          <w:szCs w:val="24"/>
          <w:vertAlign w:val="superscript"/>
        </w:rPr>
        <w:t>3</w:t>
      </w:r>
      <w:r w:rsidR="001A1CB3" w:rsidRPr="00032952">
        <w:rPr>
          <w:rFonts w:ascii="Arial Narrow" w:hAnsi="Arial Narrow"/>
          <w:sz w:val="24"/>
          <w:szCs w:val="24"/>
        </w:rPr>
        <w:t>.</w:t>
      </w:r>
    </w:p>
    <w:p w:rsidR="00C731E7" w:rsidRDefault="00C731E7" w:rsidP="00032952">
      <w:pPr>
        <w:rPr>
          <w:rFonts w:ascii="Arial Narrow" w:hAnsi="Arial Narrow"/>
          <w:sz w:val="24"/>
          <w:szCs w:val="24"/>
        </w:rPr>
      </w:pPr>
    </w:p>
    <w:p w:rsidR="00C731E7" w:rsidRDefault="00C731E7" w:rsidP="00032952">
      <w:pPr>
        <w:rPr>
          <w:rFonts w:ascii="Arial Narrow" w:hAnsi="Arial Narrow"/>
          <w:sz w:val="24"/>
          <w:szCs w:val="24"/>
        </w:rPr>
      </w:pPr>
    </w:p>
    <w:p w:rsidR="00C731E7" w:rsidRDefault="00020F20" w:rsidP="00020F20">
      <w:pPr>
        <w:tabs>
          <w:tab w:val="left" w:pos="5835"/>
        </w:tabs>
        <w:rPr>
          <w:rFonts w:ascii="Arial Narrow" w:hAnsi="Arial Narrow"/>
          <w:sz w:val="24"/>
          <w:szCs w:val="24"/>
        </w:rPr>
      </w:pPr>
      <w:r>
        <w:rPr>
          <w:rFonts w:ascii="Arial Narrow" w:hAnsi="Arial Narrow"/>
          <w:sz w:val="24"/>
          <w:szCs w:val="24"/>
        </w:rPr>
        <w:tab/>
      </w:r>
    </w:p>
    <w:p w:rsidR="00C731E7" w:rsidRDefault="00C731E7" w:rsidP="00032952">
      <w:pPr>
        <w:rPr>
          <w:rFonts w:ascii="Arial Narrow" w:hAnsi="Arial Narrow"/>
          <w:sz w:val="24"/>
          <w:szCs w:val="24"/>
        </w:rPr>
      </w:pPr>
    </w:p>
    <w:p w:rsidR="00A138A3" w:rsidRPr="002E62F8" w:rsidRDefault="00371807" w:rsidP="002E62F8">
      <w:pPr>
        <w:rPr>
          <w:rFonts w:ascii="Arial Narrow" w:hAnsi="Arial Narrow"/>
          <w:sz w:val="24"/>
          <w:szCs w:val="24"/>
        </w:rPr>
      </w:pPr>
      <w:r>
        <w:rPr>
          <w:noProof/>
        </w:rPr>
        <w:lastRenderedPageBreak/>
        <w:drawing>
          <wp:inline distT="0" distB="0" distL="0" distR="0" wp14:anchorId="7CDE5A13" wp14:editId="21323207">
            <wp:extent cx="1572260" cy="99060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srcRect/>
                    <a:stretch>
                      <a:fillRect/>
                    </a:stretch>
                  </pic:blipFill>
                  <pic:spPr bwMode="auto">
                    <a:xfrm>
                      <a:off x="0" y="0"/>
                      <a:ext cx="1572260" cy="990600"/>
                    </a:xfrm>
                    <a:prstGeom prst="rect">
                      <a:avLst/>
                    </a:prstGeom>
                    <a:noFill/>
                    <a:ln w="9525">
                      <a:noFill/>
                      <a:miter lim="800000"/>
                      <a:headEnd/>
                      <a:tailEnd/>
                    </a:ln>
                  </pic:spPr>
                </pic:pic>
              </a:graphicData>
            </a:graphic>
          </wp:inline>
        </w:drawing>
      </w:r>
    </w:p>
    <w:p w:rsidR="00371807" w:rsidRDefault="002E62F8" w:rsidP="002E62F8">
      <w:pPr>
        <w:pStyle w:val="ListParagraph"/>
        <w:pBdr>
          <w:bottom w:val="single" w:sz="12" w:space="1" w:color="auto"/>
        </w:pBdr>
        <w:tabs>
          <w:tab w:val="left" w:pos="6960"/>
          <w:tab w:val="right" w:pos="9360"/>
        </w:tabs>
        <w:rPr>
          <w:rFonts w:ascii="Arial Narrow" w:hAnsi="Arial Narrow"/>
          <w:sz w:val="24"/>
          <w:szCs w:val="24"/>
        </w:rPr>
      </w:pPr>
      <w:r>
        <w:rPr>
          <w:rFonts w:ascii="Arial Narrow" w:hAnsi="Arial Narrow"/>
          <w:sz w:val="24"/>
          <w:szCs w:val="24"/>
        </w:rPr>
        <w:tab/>
      </w:r>
      <w:r>
        <w:rPr>
          <w:rFonts w:ascii="Arial Narrow" w:hAnsi="Arial Narrow"/>
          <w:sz w:val="24"/>
          <w:szCs w:val="24"/>
        </w:rPr>
        <w:tab/>
      </w:r>
      <w:r w:rsidR="00371807">
        <w:rPr>
          <w:rFonts w:ascii="Arial Narrow" w:hAnsi="Arial Narrow"/>
          <w:sz w:val="24"/>
          <w:szCs w:val="24"/>
        </w:rPr>
        <w:t>Position Statement</w:t>
      </w:r>
    </w:p>
    <w:p w:rsidR="00CB0238" w:rsidRDefault="00CB0238" w:rsidP="00CB0238">
      <w:pPr>
        <w:rPr>
          <w:rFonts w:ascii="Arial Narrow" w:hAnsi="Arial Narrow"/>
          <w:b/>
          <w:sz w:val="28"/>
          <w:szCs w:val="28"/>
        </w:rPr>
      </w:pPr>
    </w:p>
    <w:p w:rsidR="00CB0238" w:rsidRPr="00A138A3" w:rsidRDefault="00CB0238" w:rsidP="00CB0238">
      <w:pPr>
        <w:rPr>
          <w:rFonts w:ascii="Arial Narrow" w:hAnsi="Arial Narrow"/>
          <w:b/>
          <w:sz w:val="28"/>
          <w:szCs w:val="28"/>
        </w:rPr>
      </w:pPr>
      <w:r w:rsidRPr="00A138A3">
        <w:rPr>
          <w:rFonts w:ascii="Arial Narrow" w:hAnsi="Arial Narrow"/>
          <w:b/>
          <w:sz w:val="28"/>
          <w:szCs w:val="28"/>
        </w:rPr>
        <w:t>Texas ENA Position</w:t>
      </w:r>
    </w:p>
    <w:p w:rsidR="00CB0238" w:rsidRPr="00032952" w:rsidRDefault="00CB0238" w:rsidP="00CB0238">
      <w:pPr>
        <w:rPr>
          <w:rFonts w:ascii="Arial Narrow" w:hAnsi="Arial Narrow"/>
          <w:sz w:val="24"/>
          <w:szCs w:val="24"/>
        </w:rPr>
      </w:pPr>
      <w:r w:rsidRPr="00032952">
        <w:rPr>
          <w:rFonts w:ascii="Arial Narrow" w:hAnsi="Arial Narrow"/>
          <w:sz w:val="24"/>
          <w:szCs w:val="24"/>
        </w:rPr>
        <w:t>It is the position of the Texas Emergency Nurses Association that:</w:t>
      </w:r>
    </w:p>
    <w:p w:rsidR="00CB0238" w:rsidRDefault="00CB0238" w:rsidP="00CB0238">
      <w:pPr>
        <w:pStyle w:val="ListParagraph"/>
        <w:numPr>
          <w:ilvl w:val="0"/>
          <w:numId w:val="2"/>
        </w:numPr>
        <w:rPr>
          <w:rFonts w:ascii="Arial Narrow" w:hAnsi="Arial Narrow"/>
          <w:sz w:val="24"/>
          <w:szCs w:val="24"/>
        </w:rPr>
      </w:pPr>
      <w:r>
        <w:rPr>
          <w:rFonts w:ascii="Arial Narrow" w:hAnsi="Arial Narrow"/>
          <w:sz w:val="24"/>
          <w:szCs w:val="24"/>
        </w:rPr>
        <w:t>Poor communication between facilities can lead to an increased risk of negative healthcare outcomes.</w:t>
      </w:r>
    </w:p>
    <w:p w:rsidR="00CB0238" w:rsidRDefault="00CB0238" w:rsidP="00CB0238">
      <w:pPr>
        <w:pStyle w:val="ListParagraph"/>
        <w:rPr>
          <w:rFonts w:ascii="Arial Narrow" w:hAnsi="Arial Narrow"/>
          <w:sz w:val="24"/>
          <w:szCs w:val="24"/>
        </w:rPr>
      </w:pPr>
    </w:p>
    <w:p w:rsidR="00CB0238" w:rsidRDefault="00CB0238" w:rsidP="00CB0238">
      <w:pPr>
        <w:pStyle w:val="ListParagraph"/>
        <w:numPr>
          <w:ilvl w:val="0"/>
          <w:numId w:val="2"/>
        </w:numPr>
        <w:rPr>
          <w:rFonts w:ascii="Arial Narrow" w:hAnsi="Arial Narrow"/>
          <w:sz w:val="24"/>
          <w:szCs w:val="24"/>
        </w:rPr>
      </w:pPr>
      <w:r w:rsidRPr="00A138A3">
        <w:rPr>
          <w:rFonts w:ascii="Arial Narrow" w:hAnsi="Arial Narrow"/>
          <w:sz w:val="24"/>
          <w:szCs w:val="24"/>
        </w:rPr>
        <w:t>The development and use of standardized reporting methods provide safe and effective continuity of care.</w:t>
      </w:r>
    </w:p>
    <w:p w:rsidR="00371807" w:rsidRPr="00A138A3" w:rsidRDefault="00371807" w:rsidP="00A138A3">
      <w:pPr>
        <w:pStyle w:val="ListParagraph"/>
        <w:rPr>
          <w:rFonts w:ascii="Arial Narrow" w:hAnsi="Arial Narrow"/>
          <w:sz w:val="24"/>
          <w:szCs w:val="24"/>
        </w:rPr>
      </w:pPr>
    </w:p>
    <w:p w:rsidR="00A138A3" w:rsidRDefault="001A1CB3" w:rsidP="00A138A3">
      <w:pPr>
        <w:pStyle w:val="ListParagraph"/>
        <w:numPr>
          <w:ilvl w:val="0"/>
          <w:numId w:val="2"/>
        </w:numPr>
        <w:rPr>
          <w:rFonts w:ascii="Arial Narrow" w:hAnsi="Arial Narrow"/>
          <w:sz w:val="24"/>
          <w:szCs w:val="24"/>
        </w:rPr>
      </w:pPr>
      <w:r w:rsidRPr="00A138A3">
        <w:rPr>
          <w:rFonts w:ascii="Arial Narrow" w:hAnsi="Arial Narrow"/>
          <w:sz w:val="24"/>
          <w:szCs w:val="24"/>
        </w:rPr>
        <w:t>Emergency Departments should communicate and coordinate educational programs to area facilities using</w:t>
      </w:r>
      <w:r w:rsidR="00032952" w:rsidRPr="00A138A3">
        <w:rPr>
          <w:rFonts w:ascii="Arial Narrow" w:hAnsi="Arial Narrow"/>
          <w:sz w:val="24"/>
          <w:szCs w:val="24"/>
        </w:rPr>
        <w:t xml:space="preserve"> a standardized transfer report.</w:t>
      </w:r>
    </w:p>
    <w:p w:rsidR="00A138A3" w:rsidRPr="00A138A3" w:rsidRDefault="00A138A3" w:rsidP="00A138A3">
      <w:pPr>
        <w:pStyle w:val="ListParagraph"/>
        <w:rPr>
          <w:rFonts w:ascii="Arial Narrow" w:hAnsi="Arial Narrow"/>
          <w:sz w:val="24"/>
          <w:szCs w:val="24"/>
        </w:rPr>
      </w:pPr>
    </w:p>
    <w:p w:rsidR="00A138A3" w:rsidRDefault="00A138A3" w:rsidP="00A138A3">
      <w:pPr>
        <w:pStyle w:val="ListParagraph"/>
        <w:numPr>
          <w:ilvl w:val="0"/>
          <w:numId w:val="2"/>
        </w:numPr>
        <w:rPr>
          <w:rFonts w:ascii="Arial Narrow" w:hAnsi="Arial Narrow"/>
          <w:sz w:val="24"/>
          <w:szCs w:val="24"/>
        </w:rPr>
      </w:pPr>
      <w:r>
        <w:rPr>
          <w:rFonts w:ascii="Arial Narrow" w:hAnsi="Arial Narrow"/>
          <w:sz w:val="24"/>
          <w:szCs w:val="24"/>
        </w:rPr>
        <w:t>When report is received, either verbally or written, the name of the facility, nurse providing report, and call back telephone numbers should be included fo</w:t>
      </w:r>
      <w:bookmarkStart w:id="0" w:name="_GoBack"/>
      <w:bookmarkEnd w:id="0"/>
      <w:r>
        <w:rPr>
          <w:rFonts w:ascii="Arial Narrow" w:hAnsi="Arial Narrow"/>
          <w:sz w:val="24"/>
          <w:szCs w:val="24"/>
        </w:rPr>
        <w:t>r effective discharge planning.</w:t>
      </w:r>
    </w:p>
    <w:p w:rsidR="003647FF" w:rsidRPr="003647FF" w:rsidRDefault="003647FF" w:rsidP="003647FF">
      <w:pPr>
        <w:pStyle w:val="ListParagraph"/>
        <w:rPr>
          <w:rFonts w:ascii="Arial Narrow" w:hAnsi="Arial Narrow"/>
          <w:sz w:val="24"/>
          <w:szCs w:val="24"/>
        </w:rPr>
      </w:pPr>
    </w:p>
    <w:p w:rsidR="003647FF" w:rsidRDefault="003647FF" w:rsidP="00A138A3">
      <w:pPr>
        <w:pStyle w:val="ListParagraph"/>
        <w:numPr>
          <w:ilvl w:val="0"/>
          <w:numId w:val="2"/>
        </w:numPr>
        <w:rPr>
          <w:rFonts w:ascii="Arial Narrow" w:hAnsi="Arial Narrow"/>
          <w:sz w:val="24"/>
          <w:szCs w:val="24"/>
        </w:rPr>
      </w:pPr>
      <w:r>
        <w:rPr>
          <w:rFonts w:ascii="Arial Narrow" w:hAnsi="Arial Narrow"/>
          <w:sz w:val="24"/>
          <w:szCs w:val="24"/>
        </w:rPr>
        <w:t>Emergency Departments compel their nursing home partners in utilizing their industry standard of transfer/hand off report established by the American Medical Directors Association: INTERACT II transfer tool</w:t>
      </w:r>
      <w:r w:rsidR="00DD4321" w:rsidRPr="00DD4321">
        <w:rPr>
          <w:rFonts w:ascii="Arial Narrow" w:hAnsi="Arial Narrow"/>
          <w:sz w:val="24"/>
          <w:szCs w:val="24"/>
          <w:vertAlign w:val="superscript"/>
        </w:rPr>
        <w:t>7</w:t>
      </w:r>
      <w:r>
        <w:rPr>
          <w:rFonts w:ascii="Arial Narrow" w:hAnsi="Arial Narrow"/>
          <w:sz w:val="24"/>
          <w:szCs w:val="24"/>
        </w:rPr>
        <w:t xml:space="preserve"> or the Emergency Nurses Association’s Safer Handoff Transfer Form</w:t>
      </w:r>
      <w:r w:rsidR="00DD4321" w:rsidRPr="00DD4321">
        <w:rPr>
          <w:rFonts w:ascii="Arial Narrow" w:hAnsi="Arial Narrow"/>
          <w:sz w:val="24"/>
          <w:szCs w:val="24"/>
          <w:vertAlign w:val="superscript"/>
        </w:rPr>
        <w:t>6</w:t>
      </w:r>
      <w:r>
        <w:rPr>
          <w:rFonts w:ascii="Arial Narrow" w:hAnsi="Arial Narrow"/>
          <w:sz w:val="24"/>
          <w:szCs w:val="24"/>
        </w:rPr>
        <w:t xml:space="preserve">. </w:t>
      </w:r>
    </w:p>
    <w:p w:rsidR="003647FF" w:rsidRDefault="003647FF" w:rsidP="00032952">
      <w:pPr>
        <w:rPr>
          <w:rFonts w:ascii="Arial Narrow" w:hAnsi="Arial Narrow"/>
          <w:sz w:val="24"/>
          <w:szCs w:val="24"/>
        </w:rPr>
      </w:pPr>
    </w:p>
    <w:p w:rsidR="00A52EE1" w:rsidRPr="00CB0238" w:rsidRDefault="00A52EE1" w:rsidP="00032952">
      <w:pPr>
        <w:rPr>
          <w:rFonts w:ascii="Arial Narrow" w:hAnsi="Arial Narrow"/>
          <w:b/>
          <w:sz w:val="28"/>
          <w:szCs w:val="28"/>
        </w:rPr>
      </w:pPr>
      <w:r w:rsidRPr="00CB0238">
        <w:rPr>
          <w:rFonts w:ascii="Arial Narrow" w:hAnsi="Arial Narrow"/>
          <w:b/>
          <w:sz w:val="28"/>
          <w:szCs w:val="28"/>
        </w:rPr>
        <w:t>Background</w:t>
      </w:r>
    </w:p>
    <w:p w:rsidR="00A52EE1" w:rsidRPr="00032952" w:rsidRDefault="00430391" w:rsidP="00032952">
      <w:pPr>
        <w:rPr>
          <w:rFonts w:ascii="Arial Narrow" w:hAnsi="Arial Narrow"/>
          <w:sz w:val="24"/>
          <w:szCs w:val="24"/>
        </w:rPr>
      </w:pPr>
      <w:r>
        <w:rPr>
          <w:rFonts w:ascii="Arial Narrow" w:hAnsi="Arial Narrow"/>
          <w:sz w:val="24"/>
          <w:szCs w:val="24"/>
        </w:rPr>
        <w:t xml:space="preserve">The delivery of care in emergency departments work towards a curative model of care focused on stabilizing an acute versus an acute on chronic condition. In sharp contrast, nursing homes focus on supportive measures of daily routines.  </w:t>
      </w:r>
      <w:r w:rsidR="00F8022F" w:rsidRPr="00032952">
        <w:rPr>
          <w:rFonts w:ascii="Arial Narrow" w:hAnsi="Arial Narrow"/>
          <w:sz w:val="24"/>
          <w:szCs w:val="24"/>
        </w:rPr>
        <w:t>Routinely in</w:t>
      </w:r>
      <w:r w:rsidR="00474B6B">
        <w:rPr>
          <w:rFonts w:ascii="Arial Narrow" w:hAnsi="Arial Narrow"/>
          <w:sz w:val="24"/>
          <w:szCs w:val="24"/>
        </w:rPr>
        <w:t xml:space="preserve"> nursing homes</w:t>
      </w:r>
      <w:r w:rsidR="00F8022F" w:rsidRPr="00032952">
        <w:rPr>
          <w:rFonts w:ascii="Arial Narrow" w:hAnsi="Arial Narrow"/>
          <w:sz w:val="24"/>
          <w:szCs w:val="24"/>
        </w:rPr>
        <w:t xml:space="preserve"> across the United States patients are transferred to emergency departments for acute or acute on chronic condition</w:t>
      </w:r>
      <w:r w:rsidR="009B0FDB">
        <w:rPr>
          <w:rFonts w:ascii="Arial Narrow" w:hAnsi="Arial Narrow"/>
          <w:sz w:val="24"/>
          <w:szCs w:val="24"/>
        </w:rPr>
        <w:t>s requiring new or advanced medical interventions not provided at their current setting</w:t>
      </w:r>
      <w:r w:rsidR="00F8022F" w:rsidRPr="00032952">
        <w:rPr>
          <w:rFonts w:ascii="Arial Narrow" w:hAnsi="Arial Narrow"/>
          <w:sz w:val="24"/>
          <w:szCs w:val="24"/>
        </w:rPr>
        <w:t>.  It is estimated that a percentage of these individuals are transferred without proper communication between nursing staff to ensure adequate medical information, such as medications administered, allergies, or medical and surgical conditions.  Even greater number of individuals presenting to emergency departments via emergency transport services have no recollection of medical or surgical history, nor their medication</w:t>
      </w:r>
      <w:r w:rsidR="00474B6B">
        <w:rPr>
          <w:rFonts w:ascii="Arial Narrow" w:hAnsi="Arial Narrow"/>
          <w:sz w:val="24"/>
          <w:szCs w:val="24"/>
        </w:rPr>
        <w:t>s they are currently prescribed or have recently taken.</w:t>
      </w:r>
      <w:r w:rsidR="00965D3D">
        <w:rPr>
          <w:rFonts w:ascii="Arial Narrow" w:hAnsi="Arial Narrow"/>
          <w:sz w:val="24"/>
          <w:szCs w:val="24"/>
        </w:rPr>
        <w:t xml:space="preserve">  It is in the best interest of all parties, send</w:t>
      </w:r>
      <w:r w:rsidR="00071BF8">
        <w:rPr>
          <w:rFonts w:ascii="Arial Narrow" w:hAnsi="Arial Narrow"/>
          <w:sz w:val="24"/>
          <w:szCs w:val="24"/>
        </w:rPr>
        <w:t>ing</w:t>
      </w:r>
      <w:r w:rsidR="00965D3D">
        <w:rPr>
          <w:rFonts w:ascii="Arial Narrow" w:hAnsi="Arial Narrow"/>
          <w:sz w:val="24"/>
          <w:szCs w:val="24"/>
        </w:rPr>
        <w:t xml:space="preserve"> and receiving facility as well as the patient to receive proper communication to ensure safe and efficient care</w:t>
      </w:r>
      <w:r w:rsidR="00C731E7">
        <w:rPr>
          <w:rFonts w:ascii="Arial Narrow" w:hAnsi="Arial Narrow"/>
          <w:sz w:val="24"/>
          <w:szCs w:val="24"/>
        </w:rPr>
        <w:t>.</w:t>
      </w:r>
    </w:p>
    <w:p w:rsidR="0064405C" w:rsidRDefault="0064405C" w:rsidP="00ED4611">
      <w:pPr>
        <w:rPr>
          <w:rFonts w:ascii="Arial Narrow" w:hAnsi="Arial Narrow"/>
          <w:sz w:val="24"/>
          <w:szCs w:val="24"/>
        </w:rPr>
      </w:pPr>
    </w:p>
    <w:p w:rsidR="00CB0238" w:rsidRDefault="00CB0238" w:rsidP="00ED4611">
      <w:pPr>
        <w:rPr>
          <w:rFonts w:ascii="Arial Narrow" w:hAnsi="Arial Narrow"/>
          <w:sz w:val="24"/>
          <w:szCs w:val="24"/>
        </w:rPr>
      </w:pPr>
      <w:r>
        <w:rPr>
          <w:noProof/>
        </w:rPr>
        <w:lastRenderedPageBreak/>
        <w:drawing>
          <wp:inline distT="0" distB="0" distL="0" distR="0" wp14:anchorId="1F2EB805" wp14:editId="5E5655DB">
            <wp:extent cx="1572260" cy="99060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srcRect/>
                    <a:stretch>
                      <a:fillRect/>
                    </a:stretch>
                  </pic:blipFill>
                  <pic:spPr bwMode="auto">
                    <a:xfrm>
                      <a:off x="0" y="0"/>
                      <a:ext cx="1572260" cy="990600"/>
                    </a:xfrm>
                    <a:prstGeom prst="rect">
                      <a:avLst/>
                    </a:prstGeom>
                    <a:noFill/>
                    <a:ln w="9525">
                      <a:noFill/>
                      <a:miter lim="800000"/>
                      <a:headEnd/>
                      <a:tailEnd/>
                    </a:ln>
                  </pic:spPr>
                </pic:pic>
              </a:graphicData>
            </a:graphic>
          </wp:inline>
        </w:drawing>
      </w:r>
    </w:p>
    <w:p w:rsidR="00CB0238" w:rsidRDefault="00CB0238" w:rsidP="00CB0238">
      <w:pPr>
        <w:pBdr>
          <w:bottom w:val="single" w:sz="12" w:space="1" w:color="auto"/>
        </w:pBdr>
        <w:jc w:val="right"/>
        <w:rPr>
          <w:rFonts w:ascii="Arial Narrow" w:hAnsi="Arial Narrow"/>
          <w:sz w:val="24"/>
          <w:szCs w:val="24"/>
        </w:rPr>
      </w:pPr>
      <w:r>
        <w:rPr>
          <w:rFonts w:ascii="Arial Narrow" w:hAnsi="Arial Narrow"/>
          <w:sz w:val="24"/>
          <w:szCs w:val="24"/>
        </w:rPr>
        <w:t>Position Statement</w:t>
      </w:r>
    </w:p>
    <w:p w:rsidR="00CB0238" w:rsidRDefault="00CB0238" w:rsidP="00ED4611">
      <w:pPr>
        <w:rPr>
          <w:rFonts w:ascii="Arial Narrow" w:hAnsi="Arial Narrow"/>
          <w:sz w:val="24"/>
          <w:szCs w:val="24"/>
        </w:rPr>
      </w:pPr>
    </w:p>
    <w:p w:rsidR="00474B6B" w:rsidRPr="00ED4611" w:rsidRDefault="00474B6B" w:rsidP="00ED4611">
      <w:pPr>
        <w:rPr>
          <w:rFonts w:ascii="Arial Narrow" w:hAnsi="Arial Narrow"/>
          <w:sz w:val="24"/>
          <w:szCs w:val="24"/>
        </w:rPr>
      </w:pPr>
      <w:r w:rsidRPr="00ED4611">
        <w:rPr>
          <w:rFonts w:ascii="Arial Narrow" w:hAnsi="Arial Narrow"/>
          <w:sz w:val="24"/>
          <w:szCs w:val="24"/>
        </w:rPr>
        <w:t>References</w:t>
      </w:r>
    </w:p>
    <w:p w:rsidR="00AC5158" w:rsidRPr="00AC5158" w:rsidRDefault="00F3398C" w:rsidP="00AC5158">
      <w:pPr>
        <w:pStyle w:val="ListParagraph"/>
        <w:numPr>
          <w:ilvl w:val="0"/>
          <w:numId w:val="3"/>
        </w:numPr>
        <w:rPr>
          <w:rFonts w:ascii="Arial Narrow" w:hAnsi="Arial Narrow"/>
          <w:sz w:val="24"/>
          <w:szCs w:val="24"/>
        </w:rPr>
      </w:pPr>
      <w:proofErr w:type="spellStart"/>
      <w:r w:rsidRPr="00AC5158">
        <w:rPr>
          <w:rFonts w:ascii="Arial Narrow" w:hAnsi="Arial Narrow"/>
          <w:sz w:val="24"/>
          <w:szCs w:val="24"/>
        </w:rPr>
        <w:t>Boockvar</w:t>
      </w:r>
      <w:proofErr w:type="spellEnd"/>
      <w:r w:rsidRPr="00AC5158">
        <w:rPr>
          <w:rFonts w:ascii="Arial Narrow" w:hAnsi="Arial Narrow"/>
          <w:sz w:val="24"/>
          <w:szCs w:val="24"/>
        </w:rPr>
        <w:t xml:space="preserve">, K.S., </w:t>
      </w:r>
      <w:proofErr w:type="spellStart"/>
      <w:r w:rsidRPr="00AC5158">
        <w:rPr>
          <w:rFonts w:ascii="Arial Narrow" w:hAnsi="Arial Narrow"/>
          <w:sz w:val="24"/>
          <w:szCs w:val="24"/>
        </w:rPr>
        <w:t>Burack</w:t>
      </w:r>
      <w:proofErr w:type="spellEnd"/>
      <w:r w:rsidRPr="00AC5158">
        <w:rPr>
          <w:rFonts w:ascii="Arial Narrow" w:hAnsi="Arial Narrow"/>
          <w:sz w:val="24"/>
          <w:szCs w:val="24"/>
        </w:rPr>
        <w:t>, O.R. (2007). Organizational relationships between nursing homes and hospitals and quality of care during hospital-nursing home patient transfers. Journal of the American Geriatrics Society, 55:1078-1084.</w:t>
      </w:r>
      <w:r w:rsidR="00AC5158" w:rsidRPr="00AC5158">
        <w:rPr>
          <w:rFonts w:ascii="Arial Narrow" w:hAnsi="Arial Narrow"/>
          <w:sz w:val="24"/>
          <w:szCs w:val="24"/>
        </w:rPr>
        <w:t xml:space="preserve"> </w:t>
      </w:r>
    </w:p>
    <w:p w:rsidR="00AC5158" w:rsidRPr="00AC5158" w:rsidRDefault="009274A4" w:rsidP="00AC5158">
      <w:pPr>
        <w:pStyle w:val="ListParagraph"/>
        <w:numPr>
          <w:ilvl w:val="0"/>
          <w:numId w:val="3"/>
        </w:numPr>
        <w:rPr>
          <w:rFonts w:ascii="Arial Narrow" w:hAnsi="Arial Narrow"/>
          <w:sz w:val="24"/>
          <w:szCs w:val="24"/>
        </w:rPr>
      </w:pPr>
      <w:r w:rsidRPr="00AC5158">
        <w:rPr>
          <w:rFonts w:ascii="Arial Narrow" w:hAnsi="Arial Narrow"/>
          <w:sz w:val="24"/>
          <w:szCs w:val="24"/>
        </w:rPr>
        <w:t>McCloskey, Rose</w:t>
      </w:r>
      <w:r w:rsidR="00893525" w:rsidRPr="00AC5158">
        <w:rPr>
          <w:rFonts w:ascii="Arial Narrow" w:hAnsi="Arial Narrow"/>
          <w:sz w:val="24"/>
          <w:szCs w:val="24"/>
        </w:rPr>
        <w:t xml:space="preserve"> (2011). The ‘mindless’ relationship between nursing homes and emergency departments: what do Bourdieu and </w:t>
      </w:r>
      <w:proofErr w:type="spellStart"/>
      <w:r w:rsidR="00893525" w:rsidRPr="00AC5158">
        <w:rPr>
          <w:rFonts w:ascii="Arial Narrow" w:hAnsi="Arial Narrow"/>
          <w:sz w:val="24"/>
          <w:szCs w:val="24"/>
        </w:rPr>
        <w:t>Freire</w:t>
      </w:r>
      <w:proofErr w:type="spellEnd"/>
      <w:r w:rsidR="00893525" w:rsidRPr="00AC5158">
        <w:rPr>
          <w:rFonts w:ascii="Arial Narrow" w:hAnsi="Arial Narrow"/>
          <w:sz w:val="24"/>
          <w:szCs w:val="24"/>
        </w:rPr>
        <w:t xml:space="preserve"> have to offer? </w:t>
      </w:r>
      <w:r w:rsidR="00893525" w:rsidRPr="00AC5158">
        <w:rPr>
          <w:rFonts w:ascii="Arial Narrow" w:hAnsi="Arial Narrow"/>
          <w:i/>
          <w:sz w:val="24"/>
          <w:szCs w:val="24"/>
        </w:rPr>
        <w:t>Nursing Inquiry</w:t>
      </w:r>
      <w:r w:rsidR="00893525" w:rsidRPr="00AC5158">
        <w:rPr>
          <w:rFonts w:ascii="Arial Narrow" w:hAnsi="Arial Narrow"/>
          <w:sz w:val="24"/>
          <w:szCs w:val="24"/>
        </w:rPr>
        <w:t>, 18(2): 154-164.</w:t>
      </w:r>
    </w:p>
    <w:p w:rsidR="00F3398C" w:rsidRPr="00AC5158" w:rsidRDefault="00F3398C" w:rsidP="00AC5158">
      <w:pPr>
        <w:pStyle w:val="ListParagraph"/>
        <w:numPr>
          <w:ilvl w:val="0"/>
          <w:numId w:val="3"/>
        </w:numPr>
        <w:rPr>
          <w:rFonts w:ascii="Arial Narrow" w:hAnsi="Arial Narrow"/>
          <w:sz w:val="24"/>
          <w:szCs w:val="24"/>
        </w:rPr>
      </w:pPr>
      <w:r w:rsidRPr="00AC5158">
        <w:rPr>
          <w:rFonts w:ascii="Arial Narrow" w:hAnsi="Arial Narrow"/>
          <w:sz w:val="24"/>
          <w:szCs w:val="24"/>
        </w:rPr>
        <w:t xml:space="preserve">McCloskey, Rose (2011). A Qualitative study on the transfer of residents between a nursing home and an emergency department. </w:t>
      </w:r>
      <w:r w:rsidRPr="00AC5158">
        <w:rPr>
          <w:rFonts w:ascii="Arial Narrow" w:hAnsi="Arial Narrow"/>
          <w:i/>
          <w:sz w:val="24"/>
          <w:szCs w:val="24"/>
        </w:rPr>
        <w:t>Journal of the American Geriatrics Society</w:t>
      </w:r>
      <w:r w:rsidRPr="00AC5158">
        <w:rPr>
          <w:rFonts w:ascii="Arial Narrow" w:hAnsi="Arial Narrow"/>
          <w:sz w:val="24"/>
          <w:szCs w:val="24"/>
        </w:rPr>
        <w:t>, 59: 717-724.</w:t>
      </w:r>
    </w:p>
    <w:p w:rsidR="00F3398C" w:rsidRPr="00AC5158" w:rsidRDefault="00F3398C" w:rsidP="00AC5158">
      <w:pPr>
        <w:pStyle w:val="ListParagraph"/>
        <w:numPr>
          <w:ilvl w:val="0"/>
          <w:numId w:val="3"/>
        </w:numPr>
        <w:rPr>
          <w:rFonts w:ascii="Arial Narrow" w:hAnsi="Arial Narrow"/>
          <w:sz w:val="24"/>
          <w:szCs w:val="24"/>
        </w:rPr>
      </w:pPr>
      <w:r w:rsidRPr="00AC5158">
        <w:rPr>
          <w:rFonts w:ascii="Arial Narrow" w:hAnsi="Arial Narrow"/>
          <w:sz w:val="24"/>
          <w:szCs w:val="24"/>
        </w:rPr>
        <w:t>Pearson, K.B., &amp; Coburn, A.F. (2013). Emergency Transfers of the elderly from nursing facilities to critical access hospitals: opportunities for improving patient safety and quality.  Office of Rural Health Policy. Policy Brief #32.</w:t>
      </w:r>
    </w:p>
    <w:p w:rsidR="00893525" w:rsidRDefault="00A70635" w:rsidP="00AC5158">
      <w:pPr>
        <w:pStyle w:val="ListParagraph"/>
        <w:numPr>
          <w:ilvl w:val="0"/>
          <w:numId w:val="3"/>
        </w:numPr>
        <w:rPr>
          <w:rFonts w:ascii="Arial Narrow" w:hAnsi="Arial Narrow"/>
          <w:sz w:val="24"/>
          <w:szCs w:val="24"/>
        </w:rPr>
      </w:pPr>
      <w:r w:rsidRPr="00AC5158">
        <w:rPr>
          <w:rFonts w:ascii="Arial Narrow" w:hAnsi="Arial Narrow"/>
          <w:sz w:val="24"/>
          <w:szCs w:val="24"/>
        </w:rPr>
        <w:t>American Medical Directors Association. (</w:t>
      </w:r>
      <w:proofErr w:type="spellStart"/>
      <w:r w:rsidRPr="00AC5158">
        <w:rPr>
          <w:rFonts w:ascii="Arial Narrow" w:hAnsi="Arial Narrow"/>
          <w:sz w:val="24"/>
          <w:szCs w:val="24"/>
        </w:rPr>
        <w:t>n.d.</w:t>
      </w:r>
      <w:proofErr w:type="spellEnd"/>
      <w:r w:rsidRPr="00AC5158">
        <w:rPr>
          <w:rFonts w:ascii="Arial Narrow" w:hAnsi="Arial Narrow"/>
          <w:sz w:val="24"/>
          <w:szCs w:val="24"/>
        </w:rPr>
        <w:t>). Improving care transitions between the nursing faci</w:t>
      </w:r>
      <w:r w:rsidR="00F3398C" w:rsidRPr="00AC5158">
        <w:rPr>
          <w:rFonts w:ascii="Arial Narrow" w:hAnsi="Arial Narrow"/>
          <w:sz w:val="24"/>
          <w:szCs w:val="24"/>
        </w:rPr>
        <w:t>l</w:t>
      </w:r>
      <w:r w:rsidRPr="00AC5158">
        <w:rPr>
          <w:rFonts w:ascii="Arial Narrow" w:hAnsi="Arial Narrow"/>
          <w:sz w:val="24"/>
          <w:szCs w:val="24"/>
        </w:rPr>
        <w:t>ity</w:t>
      </w:r>
      <w:r w:rsidR="00F3398C" w:rsidRPr="00AC5158">
        <w:rPr>
          <w:rFonts w:ascii="Arial Narrow" w:hAnsi="Arial Narrow"/>
          <w:sz w:val="24"/>
          <w:szCs w:val="24"/>
        </w:rPr>
        <w:t xml:space="preserve"> and the acute care hospital setting. Public Policy Committee Resolution H 10.</w:t>
      </w:r>
    </w:p>
    <w:p w:rsidR="00101302" w:rsidRDefault="00101302" w:rsidP="00AC5158">
      <w:pPr>
        <w:pStyle w:val="ListParagraph"/>
        <w:numPr>
          <w:ilvl w:val="0"/>
          <w:numId w:val="3"/>
        </w:numPr>
        <w:rPr>
          <w:rFonts w:ascii="Arial Narrow" w:hAnsi="Arial Narrow"/>
          <w:sz w:val="24"/>
          <w:szCs w:val="24"/>
        </w:rPr>
      </w:pPr>
      <w:r>
        <w:rPr>
          <w:rFonts w:ascii="Arial Narrow" w:hAnsi="Arial Narrow"/>
          <w:sz w:val="24"/>
          <w:szCs w:val="24"/>
        </w:rPr>
        <w:t xml:space="preserve">Emergency Nurses Association: Safer Patient Transfer Form.  Taken from: </w:t>
      </w:r>
      <w:hyperlink r:id="rId9" w:history="1">
        <w:r w:rsidRPr="00BD456A">
          <w:rPr>
            <w:rStyle w:val="Hyperlink"/>
            <w:rFonts w:ascii="Arial Narrow" w:hAnsi="Arial Narrow"/>
            <w:sz w:val="24"/>
            <w:szCs w:val="24"/>
          </w:rPr>
          <w:t>http://enascratch.f648.net/practice-research/practice/safety/patient/pages/saferhandoff.aspx</w:t>
        </w:r>
      </w:hyperlink>
      <w:r>
        <w:rPr>
          <w:rFonts w:ascii="Arial Narrow" w:hAnsi="Arial Narrow"/>
          <w:sz w:val="24"/>
          <w:szCs w:val="24"/>
        </w:rPr>
        <w:t>.</w:t>
      </w:r>
    </w:p>
    <w:p w:rsidR="009316F5" w:rsidRDefault="009316F5" w:rsidP="009316F5">
      <w:pPr>
        <w:pStyle w:val="ListParagraph"/>
        <w:numPr>
          <w:ilvl w:val="0"/>
          <w:numId w:val="3"/>
        </w:numPr>
        <w:rPr>
          <w:rFonts w:ascii="Arial Narrow" w:hAnsi="Arial Narrow"/>
          <w:sz w:val="24"/>
          <w:szCs w:val="24"/>
        </w:rPr>
      </w:pPr>
      <w:r>
        <w:rPr>
          <w:rFonts w:ascii="Arial Narrow" w:hAnsi="Arial Narrow"/>
          <w:sz w:val="24"/>
          <w:szCs w:val="24"/>
        </w:rPr>
        <w:t xml:space="preserve">American Medical Directors Association: INTERACT II. Taken from: </w:t>
      </w:r>
      <w:hyperlink r:id="rId10" w:history="1">
        <w:r w:rsidR="00F51A47" w:rsidRPr="00C11B77">
          <w:rPr>
            <w:rStyle w:val="Hyperlink"/>
            <w:rFonts w:ascii="Arial Narrow" w:hAnsi="Arial Narrow"/>
            <w:sz w:val="24"/>
            <w:szCs w:val="24"/>
          </w:rPr>
          <w:t>https://interact2.net</w:t>
        </w:r>
      </w:hyperlink>
    </w:p>
    <w:p w:rsidR="00CB0238" w:rsidRDefault="00CB0238" w:rsidP="00CB0238">
      <w:pPr>
        <w:rPr>
          <w:rFonts w:ascii="Arial Narrow" w:hAnsi="Arial Narrow"/>
          <w:sz w:val="24"/>
          <w:szCs w:val="24"/>
        </w:rPr>
      </w:pPr>
    </w:p>
    <w:p w:rsidR="00CB0238" w:rsidRDefault="00CB0238" w:rsidP="00CB0238">
      <w:pPr>
        <w:rPr>
          <w:rFonts w:ascii="Arial Narrow" w:hAnsi="Arial Narrow"/>
          <w:sz w:val="24"/>
          <w:szCs w:val="24"/>
        </w:rPr>
      </w:pPr>
    </w:p>
    <w:p w:rsidR="00CB0238" w:rsidRDefault="00CB0238" w:rsidP="00CB0238">
      <w:pPr>
        <w:rPr>
          <w:rFonts w:ascii="Arial Narrow" w:hAnsi="Arial Narrow"/>
          <w:sz w:val="24"/>
          <w:szCs w:val="24"/>
        </w:rPr>
      </w:pPr>
    </w:p>
    <w:p w:rsidR="00CB0238" w:rsidRDefault="002B189A" w:rsidP="00CB0238">
      <w:pPr>
        <w:rPr>
          <w:rFonts w:ascii="Arial Narrow" w:hAnsi="Arial Narrow"/>
          <w:sz w:val="24"/>
          <w:szCs w:val="24"/>
        </w:rPr>
      </w:pPr>
      <w:r>
        <w:rPr>
          <w:rFonts w:ascii="Arial Narrow" w:hAnsi="Arial Narrow"/>
          <w:sz w:val="24"/>
          <w:szCs w:val="24"/>
        </w:rPr>
        <w:t>Developed:</w:t>
      </w:r>
      <w:r>
        <w:rPr>
          <w:rFonts w:ascii="Arial Narrow" w:hAnsi="Arial Narrow"/>
          <w:sz w:val="24"/>
          <w:szCs w:val="24"/>
        </w:rPr>
        <w:tab/>
        <w:t>July 2014</w:t>
      </w:r>
    </w:p>
    <w:p w:rsidR="0004638B" w:rsidRDefault="0004638B" w:rsidP="00CB0238">
      <w:pPr>
        <w:rPr>
          <w:rFonts w:ascii="Arial Narrow" w:hAnsi="Arial Narrow"/>
          <w:sz w:val="24"/>
          <w:szCs w:val="24"/>
        </w:rPr>
      </w:pPr>
      <w:r>
        <w:rPr>
          <w:rFonts w:ascii="Arial Narrow" w:hAnsi="Arial Narrow"/>
          <w:sz w:val="24"/>
          <w:szCs w:val="24"/>
        </w:rPr>
        <w:t xml:space="preserve">Approved by the Texas </w:t>
      </w:r>
      <w:r w:rsidR="002B189A">
        <w:rPr>
          <w:rFonts w:ascii="Arial Narrow" w:hAnsi="Arial Narrow"/>
          <w:sz w:val="24"/>
          <w:szCs w:val="24"/>
        </w:rPr>
        <w:t>ENA Board of Directors:</w:t>
      </w:r>
      <w:r w:rsidR="002B189A">
        <w:rPr>
          <w:rFonts w:ascii="Arial Narrow" w:hAnsi="Arial Narrow"/>
          <w:sz w:val="24"/>
          <w:szCs w:val="24"/>
        </w:rPr>
        <w:tab/>
        <w:t>July 2014</w:t>
      </w:r>
    </w:p>
    <w:p w:rsidR="002B189A" w:rsidRPr="00F51A47" w:rsidRDefault="002B189A" w:rsidP="00CB0238">
      <w:pPr>
        <w:rPr>
          <w:rFonts w:ascii="Arial Narrow" w:hAnsi="Arial Narrow"/>
          <w:sz w:val="24"/>
          <w:szCs w:val="24"/>
        </w:rPr>
      </w:pPr>
    </w:p>
    <w:sectPr w:rsidR="002B189A" w:rsidRPr="00F51A47" w:rsidSect="001D49DF">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05C" w:rsidRDefault="0064405C" w:rsidP="0064405C">
      <w:pPr>
        <w:spacing w:after="0" w:line="240" w:lineRule="auto"/>
      </w:pPr>
      <w:r>
        <w:separator/>
      </w:r>
    </w:p>
  </w:endnote>
  <w:endnote w:type="continuationSeparator" w:id="0">
    <w:p w:rsidR="0064405C" w:rsidRDefault="0064405C" w:rsidP="006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2F8" w:rsidRDefault="002E62F8">
    <w:pPr>
      <w:pStyle w:val="Footer"/>
      <w:pBdr>
        <w:bottom w:val="single" w:sz="12" w:space="1" w:color="auto"/>
      </w:pBdr>
      <w:jc w:val="right"/>
    </w:pPr>
  </w:p>
  <w:p w:rsidR="00C731E7" w:rsidRDefault="00664EC2">
    <w:pPr>
      <w:pStyle w:val="Footer"/>
      <w:jc w:val="right"/>
    </w:pPr>
    <w:r>
      <w:t>Texas Emergency Nurses Association</w:t>
    </w:r>
    <w:r>
      <w:tab/>
    </w:r>
    <w:r>
      <w:tab/>
    </w:r>
    <w:sdt>
      <w:sdtPr>
        <w:id w:val="1933934925"/>
        <w:docPartObj>
          <w:docPartGallery w:val="Page Numbers (Bottom of Page)"/>
          <w:docPartUnique/>
        </w:docPartObj>
      </w:sdtPr>
      <w:sdtEndPr>
        <w:rPr>
          <w:noProof/>
        </w:rPr>
      </w:sdtEndPr>
      <w:sdtContent>
        <w:r w:rsidR="00C731E7">
          <w:fldChar w:fldCharType="begin"/>
        </w:r>
        <w:r w:rsidR="00C731E7">
          <w:instrText xml:space="preserve"> PAGE   \* MERGEFORMAT </w:instrText>
        </w:r>
        <w:r w:rsidR="00C731E7">
          <w:fldChar w:fldCharType="separate"/>
        </w:r>
        <w:r w:rsidR="003E775E">
          <w:rPr>
            <w:noProof/>
          </w:rPr>
          <w:t>3</w:t>
        </w:r>
        <w:r w:rsidR="00C731E7">
          <w:rPr>
            <w:noProof/>
          </w:rPr>
          <w:fldChar w:fldCharType="end"/>
        </w:r>
      </w:sdtContent>
    </w:sdt>
  </w:p>
  <w:p w:rsidR="0064405C" w:rsidRDefault="0064405C" w:rsidP="00664EC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05C" w:rsidRDefault="0064405C" w:rsidP="0064405C">
      <w:pPr>
        <w:spacing w:after="0" w:line="240" w:lineRule="auto"/>
      </w:pPr>
      <w:r>
        <w:separator/>
      </w:r>
    </w:p>
  </w:footnote>
  <w:footnote w:type="continuationSeparator" w:id="0">
    <w:p w:rsidR="0064405C" w:rsidRDefault="0064405C" w:rsidP="00644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05C" w:rsidRDefault="00644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91131"/>
    <w:multiLevelType w:val="hybridMultilevel"/>
    <w:tmpl w:val="9190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E2575"/>
    <w:multiLevelType w:val="hybridMultilevel"/>
    <w:tmpl w:val="64D2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87AC5"/>
    <w:multiLevelType w:val="hybridMultilevel"/>
    <w:tmpl w:val="750A6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49DF"/>
    <w:rsid w:val="00002FB4"/>
    <w:rsid w:val="00020F20"/>
    <w:rsid w:val="00032952"/>
    <w:rsid w:val="0004638B"/>
    <w:rsid w:val="00071BF8"/>
    <w:rsid w:val="00101302"/>
    <w:rsid w:val="00103332"/>
    <w:rsid w:val="001A1CB3"/>
    <w:rsid w:val="001D49DF"/>
    <w:rsid w:val="00220C27"/>
    <w:rsid w:val="002B189A"/>
    <w:rsid w:val="002E62F8"/>
    <w:rsid w:val="003647FF"/>
    <w:rsid w:val="00371807"/>
    <w:rsid w:val="003E775E"/>
    <w:rsid w:val="003F191C"/>
    <w:rsid w:val="00430391"/>
    <w:rsid w:val="00474B6B"/>
    <w:rsid w:val="005B4A51"/>
    <w:rsid w:val="005C222C"/>
    <w:rsid w:val="0064405C"/>
    <w:rsid w:val="00664EC2"/>
    <w:rsid w:val="007426B4"/>
    <w:rsid w:val="007629F6"/>
    <w:rsid w:val="0084642C"/>
    <w:rsid w:val="00887B20"/>
    <w:rsid w:val="00893525"/>
    <w:rsid w:val="009117C7"/>
    <w:rsid w:val="009274A4"/>
    <w:rsid w:val="009316F5"/>
    <w:rsid w:val="0094464D"/>
    <w:rsid w:val="00965D3D"/>
    <w:rsid w:val="009B0FDB"/>
    <w:rsid w:val="00A0436A"/>
    <w:rsid w:val="00A138A3"/>
    <w:rsid w:val="00A43D32"/>
    <w:rsid w:val="00A52EE1"/>
    <w:rsid w:val="00A70635"/>
    <w:rsid w:val="00AC5158"/>
    <w:rsid w:val="00C731E7"/>
    <w:rsid w:val="00CB0238"/>
    <w:rsid w:val="00DD09E1"/>
    <w:rsid w:val="00DD4321"/>
    <w:rsid w:val="00ED4611"/>
    <w:rsid w:val="00F15D06"/>
    <w:rsid w:val="00F3398C"/>
    <w:rsid w:val="00F51A47"/>
    <w:rsid w:val="00F8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EF73930-225B-42F8-94C3-328BCC9D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C7"/>
    <w:pPr>
      <w:ind w:left="720"/>
      <w:contextualSpacing/>
    </w:pPr>
  </w:style>
  <w:style w:type="paragraph" w:styleId="Header">
    <w:name w:val="header"/>
    <w:basedOn w:val="Normal"/>
    <w:link w:val="HeaderChar"/>
    <w:uiPriority w:val="99"/>
    <w:unhideWhenUsed/>
    <w:rsid w:val="00644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5C"/>
  </w:style>
  <w:style w:type="paragraph" w:styleId="Footer">
    <w:name w:val="footer"/>
    <w:basedOn w:val="Normal"/>
    <w:link w:val="FooterChar"/>
    <w:uiPriority w:val="99"/>
    <w:unhideWhenUsed/>
    <w:rsid w:val="00644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5C"/>
  </w:style>
  <w:style w:type="character" w:styleId="Hyperlink">
    <w:name w:val="Hyperlink"/>
    <w:basedOn w:val="DefaultParagraphFont"/>
    <w:uiPriority w:val="99"/>
    <w:unhideWhenUsed/>
    <w:rsid w:val="001013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act2.net" TargetMode="External"/><Relationship Id="rId4" Type="http://schemas.openxmlformats.org/officeDocument/2006/relationships/settings" Target="settings.xml"/><Relationship Id="rId9" Type="http://schemas.openxmlformats.org/officeDocument/2006/relationships/hyperlink" Target="http://enascratch.f648.net/practice-research/practice/safety/patient/pages/saferhandoff.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343F-F31A-4CB2-B999-F3CCF018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Jewell</dc:creator>
  <cp:keywords/>
  <dc:description/>
  <cp:lastModifiedBy>Steven Jewell</cp:lastModifiedBy>
  <cp:revision>26</cp:revision>
  <dcterms:created xsi:type="dcterms:W3CDTF">2014-06-18T07:27:00Z</dcterms:created>
  <dcterms:modified xsi:type="dcterms:W3CDTF">2014-07-12T19:07:00Z</dcterms:modified>
</cp:coreProperties>
</file>